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6DF567EC" w:rsidR="00BF4FC3" w:rsidRDefault="00B83656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04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1760E850" w:rsidR="00BF4FC3" w:rsidRPr="00343766" w:rsidRDefault="00B8365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Inscritos: 77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56CF1908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D13D9B">
        <w:rPr>
          <w:rFonts w:ascii="Times New Roman" w:hAnsi="Times New Roman" w:cs="Times New Roman"/>
          <w:b/>
          <w:sz w:val="24"/>
          <w:szCs w:val="24"/>
        </w:rPr>
        <w:t>32.082.11</w:t>
      </w:r>
      <w:r w:rsidR="00B83656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B83656">
        <w:rPr>
          <w:rFonts w:ascii="Times New Roman" w:hAnsi="Times New Roman" w:cs="Times New Roman"/>
          <w:b/>
          <w:sz w:val="24"/>
          <w:szCs w:val="24"/>
        </w:rPr>
        <w:t>ABRIL</w:t>
      </w:r>
      <w:proofErr w:type="gramEnd"/>
    </w:p>
    <w:p w14:paraId="121155EF" w14:textId="527FBDD9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F0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18/04</w:t>
      </w:r>
      <w:r w:rsidR="00F06999"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/2022</w:t>
      </w:r>
      <w:r w:rsidRPr="00F06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69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Municipal </w:t>
      </w:r>
    </w:p>
    <w:p w14:paraId="3E1A6BBF" w14:textId="317B930B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Claudinéia Aparecida dos </w:t>
      </w:r>
      <w:r w:rsidR="003A03A4">
        <w:rPr>
          <w:rFonts w:ascii="Times New Roman" w:hAnsi="Times New Roman" w:cs="Times New Roman"/>
          <w:sz w:val="24"/>
          <w:szCs w:val="24"/>
        </w:rPr>
        <w:t>Santos</w:t>
      </w:r>
      <w:bookmarkStart w:id="0" w:name="_GoBack"/>
      <w:bookmarkEnd w:id="0"/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9F42F" w14:textId="57C52C97" w:rsidR="00620A95" w:rsidRDefault="00BF4FC3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</w:p>
    <w:p w14:paraId="424C817C" w14:textId="77777777" w:rsidR="002D1F5E" w:rsidRDefault="002D1F5E" w:rsidP="002D1F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67BCAD62" w14:textId="12A73545" w:rsidR="00620A95" w:rsidRDefault="00BF4FC3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5BE1" w14:textId="02D888FB" w:rsidR="002D1F5E" w:rsidRDefault="002D1F5E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0BA82D" w14:textId="77777777" w:rsidR="002D1F5E" w:rsidRPr="002D1F5E" w:rsidRDefault="002D1F5E" w:rsidP="002D1F5E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7551E" w14:textId="70938E08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lastRenderedPageBreak/>
        <w:t>Objetivos Específicos:</w:t>
      </w:r>
    </w:p>
    <w:p w14:paraId="6019218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Planejamento, articulação e encaminhamento com a rede socioassistencial;</w:t>
      </w:r>
    </w:p>
    <w:p w14:paraId="3F28631B" w14:textId="1EA29048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Acompanhamento presencial</w:t>
      </w:r>
      <w:r w:rsidR="009C5B89">
        <w:rPr>
          <w:rFonts w:ascii="Times New Roman" w:hAnsi="Times New Roman" w:cs="Times New Roman"/>
          <w:sz w:val="24"/>
          <w:szCs w:val="24"/>
        </w:rPr>
        <w:t xml:space="preserve"> e remoto </w:t>
      </w:r>
      <w:r w:rsidRPr="00EA3A76">
        <w:rPr>
          <w:rFonts w:ascii="Times New Roman" w:hAnsi="Times New Roman" w:cs="Times New Roman"/>
          <w:sz w:val="24"/>
          <w:szCs w:val="24"/>
        </w:rPr>
        <w:t xml:space="preserve">dos atendidos e suas </w:t>
      </w:r>
      <w:r w:rsidR="00A91ADB" w:rsidRPr="00EA3A76">
        <w:rPr>
          <w:rFonts w:ascii="Times New Roman" w:hAnsi="Times New Roman" w:cs="Times New Roman"/>
          <w:sz w:val="24"/>
          <w:szCs w:val="24"/>
        </w:rPr>
        <w:t>famílias</w:t>
      </w:r>
      <w:r w:rsidR="00A91ADB">
        <w:rPr>
          <w:rFonts w:ascii="Times New Roman" w:hAnsi="Times New Roman" w:cs="Times New Roman"/>
          <w:sz w:val="24"/>
          <w:szCs w:val="24"/>
        </w:rPr>
        <w:t>;</w:t>
      </w:r>
    </w:p>
    <w:p w14:paraId="0B6ED096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Realização de visitas domiciliares para atendimentos soc</w:t>
      </w:r>
      <w:r>
        <w:rPr>
          <w:rFonts w:ascii="Times New Roman" w:hAnsi="Times New Roman" w:cs="Times New Roman"/>
          <w:sz w:val="24"/>
          <w:szCs w:val="24"/>
        </w:rPr>
        <w:t>iais;</w:t>
      </w:r>
    </w:p>
    <w:p w14:paraId="3544D2CD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Orientação e encaminhamento para as famílias ao acesso de benefícios eventuais e auxílios ofertados por qualquer esfera governamental.</w:t>
      </w:r>
    </w:p>
    <w:p w14:paraId="2C57C0D1" w14:textId="77777777" w:rsidR="00BF4FC3" w:rsidRPr="00343766" w:rsidRDefault="00BF4FC3" w:rsidP="00BF4FC3">
      <w:pPr>
        <w:pStyle w:val="PargrafodaLista"/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76A90930" w14:textId="77777777" w:rsidR="00BF4FC3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4DD262E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de crianças/adolescentes em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Diminuição das violações de direitos </w:t>
      </w:r>
      <w:proofErr w:type="spellStart"/>
      <w:r w:rsidRPr="00EA3A76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5DBF477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Construção do protagonismo;</w:t>
      </w:r>
    </w:p>
    <w:p w14:paraId="26A875A4" w14:textId="2796417D" w:rsidR="00BF4FC3" w:rsidRPr="00F177E8" w:rsidRDefault="00BF4FC3" w:rsidP="00F1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Fortalecimento dos vínculos familiares e comunitários;</w:t>
      </w:r>
    </w:p>
    <w:p w14:paraId="24B19A9D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54889" w14:textId="33D46A98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p w14:paraId="770A0DED" w14:textId="77777777" w:rsidR="002D1F5E" w:rsidRDefault="002D1F5E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A91ADB" w:rsidRPr="00343766" w14:paraId="5F984E6F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8E894" w14:textId="09730EE1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A2C" w14:textId="77777777" w:rsidR="00A91ADB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Auxiliar Administrativo</w:t>
            </w:r>
          </w:p>
          <w:p w14:paraId="77FF549F" w14:textId="74291C6B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5651" w14:textId="3000AFEA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23352" w14:textId="61607C34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F15" w14:textId="77777777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70DB" w14:textId="2A861039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52871C4A" w:rsidR="00BF4FC3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6FF0FA3D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="00A91AD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0467E9DC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5FA8FA34" w14:textId="023F9986" w:rsidR="00620A95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5CF1659F" w14:textId="77777777" w:rsidR="002D1F5E" w:rsidRDefault="002D1F5E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962" w:type="dxa"/>
        <w:tblInd w:w="-1235" w:type="dxa"/>
        <w:tblLayout w:type="fixed"/>
        <w:tblLook w:val="04A0" w:firstRow="1" w:lastRow="0" w:firstColumn="1" w:lastColumn="0" w:noHBand="0" w:noVBand="1"/>
      </w:tblPr>
      <w:tblGrid>
        <w:gridCol w:w="2581"/>
        <w:gridCol w:w="4319"/>
        <w:gridCol w:w="1918"/>
        <w:gridCol w:w="2144"/>
      </w:tblGrid>
      <w:tr w:rsidR="00BF4FC3" w:rsidRPr="00343766" w14:paraId="62176ECB" w14:textId="77777777" w:rsidTr="002D1F5E">
        <w:trPr>
          <w:trHeight w:val="452"/>
        </w:trPr>
        <w:tc>
          <w:tcPr>
            <w:tcW w:w="2581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319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1918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3A03A4">
        <w:trPr>
          <w:trHeight w:val="2643"/>
        </w:trPr>
        <w:tc>
          <w:tcPr>
            <w:tcW w:w="2581" w:type="dxa"/>
          </w:tcPr>
          <w:p w14:paraId="38023F2F" w14:textId="77777777" w:rsidR="00BF4FC3" w:rsidRPr="00BC353F" w:rsidRDefault="00BF4FC3" w:rsidP="0054089E">
            <w:pPr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319" w:type="dxa"/>
          </w:tcPr>
          <w:p w14:paraId="1C24DD0F" w14:textId="6AE30B99" w:rsidR="00C53342" w:rsidRDefault="007D6058" w:rsidP="002D1F5E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No mês de abril </w:t>
            </w:r>
            <w:r w:rsidR="00D01FDC">
              <w:rPr>
                <w:rFonts w:ascii="Times New Roman" w:eastAsia="Times New Roman" w:hAnsi="Times New Roman"/>
                <w:sz w:val="22"/>
                <w:szCs w:val="22"/>
              </w:rPr>
              <w:t>trabalhamos com os atendidos temas de conscientização, interação e cidadania. Depois de trabalhar no projeto pela monitora Leandra sobre o Autismo, os atendidos e alguns familiares participaram da passeata de conscientização com cartazes criados por eles numa iniciativa da APAE da cidade. As datas comemorativas e  de grande importância para a História do nosso país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D01FDC">
              <w:rPr>
                <w:rFonts w:ascii="Times New Roman" w:eastAsia="Times New Roman" w:hAnsi="Times New Roman"/>
                <w:sz w:val="22"/>
                <w:szCs w:val="22"/>
              </w:rPr>
              <w:t xml:space="preserve"> foram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trabalhadas de formas lúdicas nas nossas oficinas de artesanato e também nas nossas oficinas socioeducativas de maneiras que contribuíram para acrescentar o conhecimento dos nossos atendidos</w:t>
            </w:r>
            <w:r w:rsidR="00D01FDC">
              <w:rPr>
                <w:rFonts w:ascii="Times New Roman" w:eastAsia="Times New Roman" w:hAnsi="Times New Roman"/>
                <w:sz w:val="22"/>
                <w:szCs w:val="22"/>
              </w:rPr>
              <w:t xml:space="preserve"> junto com a sua formação de cidadão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: Páscoa, o significado de seus símbolos e a sua verdadeira importância além de ovos de chocolate;</w:t>
            </w:r>
            <w:r w:rsidR="008E4FC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Dia do índio, ressaltamos a importância dos índios desde o início da nossa colonização, como primeiros morados do nosso país e a falta de respeito com os mesmos nos dias atuais; Tiradentes sua luta pela liberdade do nosso “país”; “descobrimento do Brasil” destacando que lago que já tem população não pode ser descoberto.</w:t>
            </w:r>
            <w:r w:rsidR="00D01FDC">
              <w:rPr>
                <w:rFonts w:ascii="Times New Roman" w:eastAsia="Times New Roman" w:hAnsi="Times New Roman"/>
                <w:sz w:val="22"/>
                <w:szCs w:val="22"/>
              </w:rPr>
              <w:t xml:space="preserve"> O projeto Interact através de seus participantes levou a alegria, através de brincadeiras, jogos, juntos com os nossos atendidos, levando para cada um ovo de páscoa. Cada atendidos também receberam um delicioso ovo de páscoa.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E para finalizar o mês comemoramos os aniversariantes do mês com bolo lanches, refrigerantes entre outras surpresas. Eles receberam um portal níquel confeccionado pelas monitoras nas oficinas de artesanato. O professor de dança Alex deu início auxiliado pelos monitores ensaio nas danças para o dia das mães e para apresentação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do dia 18 </w:t>
            </w:r>
            <w:proofErr w:type="gramStart"/>
            <w:r>
              <w:rPr>
                <w:rFonts w:ascii="Times New Roman" w:eastAsia="Times New Roman" w:hAnsi="Times New Roman"/>
                <w:sz w:val="22"/>
                <w:szCs w:val="22"/>
              </w:rPr>
              <w:t>Maio</w:t>
            </w:r>
            <w:proofErr w:type="gramEnd"/>
            <w:r>
              <w:rPr>
                <w:rFonts w:ascii="Times New Roman" w:eastAsia="Times New Roman" w:hAnsi="Times New Roman"/>
                <w:sz w:val="22"/>
                <w:szCs w:val="22"/>
              </w:rPr>
              <w:t>, juntamente com o professor de canto Gilmar Santana.</w:t>
            </w:r>
          </w:p>
          <w:p w14:paraId="493EB4F5" w14:textId="3B3FE465" w:rsidR="00BF4FC3" w:rsidRPr="00BC353F" w:rsidRDefault="00BF4FC3" w:rsidP="002D1F5E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</w:tcPr>
          <w:p w14:paraId="05B0EE67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</w:p>
          <w:p w14:paraId="6FB69F43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propostas</w:t>
            </w:r>
            <w:proofErr w:type="gramEnd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54089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54089E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54089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2D1F5E">
        <w:trPr>
          <w:trHeight w:val="351"/>
        </w:trPr>
        <w:tc>
          <w:tcPr>
            <w:tcW w:w="2581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Possibilitar a criança e adolescente, uma maior 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319" w:type="dxa"/>
            <w:vMerge w:val="restart"/>
          </w:tcPr>
          <w:p w14:paraId="55F17F43" w14:textId="5339ADB8" w:rsidR="00BF4FC3" w:rsidRPr="00042433" w:rsidRDefault="002D1F5E" w:rsidP="002D1F5E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Os grupos de orientações do SCFV deu continuidade buscando abordar assuntos de acordo com as necessidades que foram surgindo, como:</w:t>
            </w:r>
            <w:r w:rsidR="0030258C">
              <w:rPr>
                <w:rFonts w:ascii="Times New Roman" w:eastAsia="Times New Roman" w:hAnsi="Times New Roman"/>
                <w:sz w:val="22"/>
                <w:szCs w:val="22"/>
              </w:rPr>
              <w:t xml:space="preserve"> ausência de carinhos, amizades, cidadania, interação e socialização.</w:t>
            </w:r>
          </w:p>
        </w:tc>
        <w:tc>
          <w:tcPr>
            <w:tcW w:w="1918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2D1F5E">
        <w:trPr>
          <w:trHeight w:val="70"/>
        </w:trPr>
        <w:tc>
          <w:tcPr>
            <w:tcW w:w="2581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319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18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2D1F5E">
        <w:trPr>
          <w:trHeight w:val="2414"/>
        </w:trPr>
        <w:tc>
          <w:tcPr>
            <w:tcW w:w="2581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9" w:type="dxa"/>
          </w:tcPr>
          <w:p w14:paraId="1826EBFD" w14:textId="1D84143F" w:rsidR="00BF4FC3" w:rsidRPr="00BC353F" w:rsidRDefault="00BF4FC3" w:rsidP="00F177E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B1A7D">
              <w:rPr>
                <w:rFonts w:ascii="Times New Roman" w:eastAsia="Times New Roman" w:hAnsi="Times New Roman"/>
                <w:sz w:val="22"/>
                <w:szCs w:val="22"/>
              </w:rPr>
              <w:t>A alimentação passou a ser preparada</w:t>
            </w:r>
            <w:r w:rsidR="00F177E8">
              <w:rPr>
                <w:rFonts w:ascii="Times New Roman" w:eastAsia="Times New Roman" w:hAnsi="Times New Roman"/>
                <w:sz w:val="22"/>
                <w:szCs w:val="22"/>
              </w:rPr>
              <w:t xml:space="preserve"> no próprio projeto, com um rico e diversificado cardápio, motivos de grandes elogios dos atendidos e dos responsáveis.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 xml:space="preserve"> Sendo realizada quatro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refeições diárias sendo: café da manhã e almoço no período manhã; almoço e café da tarde no período da tarde.</w:t>
            </w:r>
          </w:p>
        </w:tc>
        <w:tc>
          <w:tcPr>
            <w:tcW w:w="1918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2D1F5E">
        <w:trPr>
          <w:trHeight w:val="1195"/>
        </w:trPr>
        <w:tc>
          <w:tcPr>
            <w:tcW w:w="2581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Promover a prevenção e o cuidado da saúde física, mental, psíquica e bucal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das crianças e adolescentes atendidos no programa.</w:t>
            </w:r>
          </w:p>
        </w:tc>
        <w:tc>
          <w:tcPr>
            <w:tcW w:w="4319" w:type="dxa"/>
          </w:tcPr>
          <w:p w14:paraId="18FC7B0B" w14:textId="28829577" w:rsidR="00BF4FC3" w:rsidRPr="00BC353F" w:rsidRDefault="007E2A7D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Sempre após cada refeição os atendidos com suas </w:t>
            </w:r>
            <w:r w:rsidR="00C00A52">
              <w:rPr>
                <w:rFonts w:ascii="Times New Roman" w:eastAsia="Times New Roman" w:hAnsi="Times New Roman"/>
                <w:sz w:val="22"/>
                <w:szCs w:val="22"/>
              </w:rPr>
              <w:t xml:space="preserve">próprias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escovas realizam a higiene bucal,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sempre orientados e acompanhados pelos monitores e professores.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- Criação de vínculo familiar.</w:t>
            </w:r>
          </w:p>
        </w:tc>
      </w:tr>
      <w:tr w:rsidR="00BF4FC3" w:rsidRPr="00343766" w14:paraId="5D4EA355" w14:textId="77777777" w:rsidTr="002D1F5E">
        <w:trPr>
          <w:trHeight w:val="298"/>
        </w:trPr>
        <w:tc>
          <w:tcPr>
            <w:tcW w:w="2581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lastRenderedPageBreak/>
              <w:t>Encaminhar as crianças e adolescentes quando necessário para tratamento especializado na Rede Pública Municipal</w:t>
            </w:r>
          </w:p>
        </w:tc>
        <w:tc>
          <w:tcPr>
            <w:tcW w:w="4319" w:type="dxa"/>
          </w:tcPr>
          <w:p w14:paraId="5F5AD199" w14:textId="58955F30" w:rsidR="00BF4FC3" w:rsidRPr="00BC353F" w:rsidRDefault="002D1F5E" w:rsidP="002D1F5E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Os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atendidos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continuam sendo acompanhados pela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psicóloga que atende no Conselho Tutelar,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1 vez por semana sempre acompanhados por um funcionário do Projeto.</w:t>
            </w:r>
            <w:r w:rsidR="007E2A7D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609DF5BC" w14:textId="4F563F33" w:rsidR="00620A95" w:rsidRDefault="00620A95" w:rsidP="00B765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6AC2" w14:textId="75E55486" w:rsidR="00620A95" w:rsidRPr="00343766" w:rsidRDefault="00BF4FC3" w:rsidP="00B765E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11B18ABB" w14:textId="395C2984" w:rsidR="00BF4FC3" w:rsidRDefault="00BF4FC3" w:rsidP="00BF4FC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sz w:val="24"/>
          <w:szCs w:val="24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proofErr w:type="gramStart"/>
      <w:r w:rsidR="002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proofErr w:type="gramEnd"/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coordenadora pedagógica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social continuaram a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manter contato com os país/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responsáveis do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atendidos 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pelo projeto </w:t>
      </w:r>
      <w:r w:rsidR="007E2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sempre que necessário por grupo de whatsapp ou pessoalmente. </w:t>
      </w:r>
      <w:r w:rsidR="002D1F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Foram realizadas algumas inclusões nos projetos seguindo as referências do CRAS de acordo com as vagas disponíveis.</w:t>
      </w:r>
    </w:p>
    <w:p w14:paraId="2F87ADA1" w14:textId="7EE45C0D" w:rsidR="003A03A4" w:rsidRDefault="003A03A4" w:rsidP="003A03A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FA77000" w14:textId="45808558" w:rsidR="00B765E3" w:rsidRDefault="00B765E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E885689" w14:textId="77777777" w:rsidR="00B765E3" w:rsidRDefault="00B765E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1548E974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68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83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maio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2D07AC26" w14:textId="23982859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F509ABA" w14:textId="724C947B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EE91463" w14:textId="7777777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BEAE" w14:textId="5744EF61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031BC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0447589C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4B5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2D1F5E">
          <w:headerReference w:type="default" r:id="rId7"/>
          <w:pgSz w:w="11906" w:h="16838"/>
          <w:pgMar w:top="142" w:right="1701" w:bottom="1418" w:left="1701" w:header="709" w:footer="709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ED57" w14:textId="77777777" w:rsidR="00AA6649" w:rsidRDefault="00AA6649" w:rsidP="00BF4FC3">
      <w:pPr>
        <w:spacing w:after="0" w:line="240" w:lineRule="auto"/>
      </w:pPr>
      <w:r>
        <w:separator/>
      </w:r>
    </w:p>
  </w:endnote>
  <w:endnote w:type="continuationSeparator" w:id="0">
    <w:p w14:paraId="27EC2FEA" w14:textId="77777777" w:rsidR="00AA6649" w:rsidRDefault="00AA6649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052B0" w14:textId="77777777" w:rsidR="00AA6649" w:rsidRDefault="00AA6649" w:rsidP="00BF4FC3">
      <w:pPr>
        <w:spacing w:after="0" w:line="240" w:lineRule="auto"/>
      </w:pPr>
      <w:r>
        <w:separator/>
      </w:r>
    </w:p>
  </w:footnote>
  <w:footnote w:type="continuationSeparator" w:id="0">
    <w:p w14:paraId="2AB64B01" w14:textId="77777777" w:rsidR="00AA6649" w:rsidRDefault="00AA6649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52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305C1" wp14:editId="24708AE4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1" name="Imagem 1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4C81A5C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24C29F7D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596D351B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4D9B3D93" w14:textId="77777777" w:rsidR="0039533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57961867" w14:textId="77777777" w:rsidR="0039533D" w:rsidRPr="009A005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A7C54"/>
    <w:rsid w:val="000D46E0"/>
    <w:rsid w:val="000F2371"/>
    <w:rsid w:val="001541A3"/>
    <w:rsid w:val="00190EDC"/>
    <w:rsid w:val="001B1A7D"/>
    <w:rsid w:val="001F1BB4"/>
    <w:rsid w:val="002D1F5E"/>
    <w:rsid w:val="002F41B2"/>
    <w:rsid w:val="0030258C"/>
    <w:rsid w:val="00351B02"/>
    <w:rsid w:val="0039533D"/>
    <w:rsid w:val="003A03A4"/>
    <w:rsid w:val="003A374C"/>
    <w:rsid w:val="003C5864"/>
    <w:rsid w:val="004B40AD"/>
    <w:rsid w:val="004D5952"/>
    <w:rsid w:val="00521053"/>
    <w:rsid w:val="0054089E"/>
    <w:rsid w:val="00600E3C"/>
    <w:rsid w:val="00614C54"/>
    <w:rsid w:val="00620A95"/>
    <w:rsid w:val="0065318C"/>
    <w:rsid w:val="006707BB"/>
    <w:rsid w:val="00684203"/>
    <w:rsid w:val="006C076E"/>
    <w:rsid w:val="006C36B9"/>
    <w:rsid w:val="006C644A"/>
    <w:rsid w:val="006D3040"/>
    <w:rsid w:val="007021E8"/>
    <w:rsid w:val="00713956"/>
    <w:rsid w:val="007145C4"/>
    <w:rsid w:val="00727C3F"/>
    <w:rsid w:val="00761E0F"/>
    <w:rsid w:val="007C14AB"/>
    <w:rsid w:val="007C465D"/>
    <w:rsid w:val="007D6058"/>
    <w:rsid w:val="007E2A7D"/>
    <w:rsid w:val="00844108"/>
    <w:rsid w:val="008E4FCE"/>
    <w:rsid w:val="008F0B70"/>
    <w:rsid w:val="00913E1E"/>
    <w:rsid w:val="00970CD6"/>
    <w:rsid w:val="009C5B89"/>
    <w:rsid w:val="009F32AB"/>
    <w:rsid w:val="00A91ADB"/>
    <w:rsid w:val="00AA6649"/>
    <w:rsid w:val="00AB6060"/>
    <w:rsid w:val="00AE1AAA"/>
    <w:rsid w:val="00B2074D"/>
    <w:rsid w:val="00B765E3"/>
    <w:rsid w:val="00B83656"/>
    <w:rsid w:val="00BC6F5D"/>
    <w:rsid w:val="00BF4FC3"/>
    <w:rsid w:val="00C00A52"/>
    <w:rsid w:val="00C421C4"/>
    <w:rsid w:val="00C53342"/>
    <w:rsid w:val="00C704C5"/>
    <w:rsid w:val="00CD00C2"/>
    <w:rsid w:val="00D01FDC"/>
    <w:rsid w:val="00D13D9B"/>
    <w:rsid w:val="00D27DE2"/>
    <w:rsid w:val="00D422D2"/>
    <w:rsid w:val="00D85B3A"/>
    <w:rsid w:val="00DB3ACD"/>
    <w:rsid w:val="00DF7790"/>
    <w:rsid w:val="00E007C6"/>
    <w:rsid w:val="00E261EF"/>
    <w:rsid w:val="00E278E3"/>
    <w:rsid w:val="00E43284"/>
    <w:rsid w:val="00EF0000"/>
    <w:rsid w:val="00EF012F"/>
    <w:rsid w:val="00EF510E"/>
    <w:rsid w:val="00F06999"/>
    <w:rsid w:val="00F177E8"/>
    <w:rsid w:val="00FA7DB3"/>
    <w:rsid w:val="00FB2843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1126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36</cp:revision>
  <cp:lastPrinted>2022-03-03T17:12:00Z</cp:lastPrinted>
  <dcterms:created xsi:type="dcterms:W3CDTF">2022-03-31T01:27:00Z</dcterms:created>
  <dcterms:modified xsi:type="dcterms:W3CDTF">2022-05-03T04:04:00Z</dcterms:modified>
</cp:coreProperties>
</file>